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F1EB9" w:rsidRDefault="008F1EB9" w:rsidP="008F1EB9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Звіт</w:t>
      </w:r>
    </w:p>
    <w:p w:rsidR="008F1EB9" w:rsidRDefault="008F1EB9" w:rsidP="008F1EB9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Про базове відстеження результативності  регуляторного акту-  рішення виконавчого комітету </w:t>
      </w:r>
      <w:proofErr w:type="spellStart"/>
      <w:r>
        <w:rPr>
          <w:sz w:val="28"/>
          <w:szCs w:val="28"/>
          <w:lang w:val="uk-UA"/>
        </w:rPr>
        <w:t>Широківської</w:t>
      </w:r>
      <w:proofErr w:type="spellEnd"/>
      <w:r>
        <w:rPr>
          <w:sz w:val="28"/>
          <w:szCs w:val="28"/>
          <w:lang w:val="uk-UA"/>
        </w:rPr>
        <w:t xml:space="preserve"> сільської ради Запорізького району Запорізької області “Про порядок розміщення та демонтажу об'єктів зовнішньої реклами на території </w:t>
      </w:r>
      <w:proofErr w:type="spellStart"/>
      <w:r>
        <w:rPr>
          <w:sz w:val="28"/>
          <w:szCs w:val="28"/>
          <w:lang w:val="uk-UA"/>
        </w:rPr>
        <w:t>Широківської</w:t>
      </w:r>
      <w:proofErr w:type="spellEnd"/>
      <w:r>
        <w:rPr>
          <w:sz w:val="28"/>
          <w:szCs w:val="28"/>
          <w:lang w:val="uk-UA"/>
        </w:rPr>
        <w:t xml:space="preserve"> сільської ради Запорізького району Запорізької області”</w:t>
      </w:r>
    </w:p>
    <w:p w:rsidR="008F1EB9" w:rsidRDefault="008F1EB9" w:rsidP="008F1EB9">
      <w:pPr>
        <w:jc w:val="center"/>
        <w:rPr>
          <w:sz w:val="28"/>
          <w:szCs w:val="28"/>
          <w:lang w:val="uk-UA"/>
        </w:rPr>
      </w:pPr>
    </w:p>
    <w:p w:rsidR="008F1EB9" w:rsidRDefault="008F1EB9" w:rsidP="008F1EB9">
      <w:pPr>
        <w:jc w:val="both"/>
        <w:rPr>
          <w:sz w:val="28"/>
          <w:szCs w:val="28"/>
          <w:lang w:val="uk-UA"/>
        </w:rPr>
      </w:pPr>
    </w:p>
    <w:p w:rsidR="008F1EB9" w:rsidRDefault="008F1EB9" w:rsidP="008F1EB9">
      <w:pPr>
        <w:numPr>
          <w:ilvl w:val="0"/>
          <w:numId w:val="1"/>
        </w:numPr>
        <w:jc w:val="both"/>
        <w:rPr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 xml:space="preserve">Вид та назва регуляторного </w:t>
      </w:r>
      <w:proofErr w:type="spellStart"/>
      <w:r>
        <w:rPr>
          <w:b/>
          <w:bCs/>
          <w:sz w:val="28"/>
          <w:szCs w:val="28"/>
          <w:lang w:val="uk-UA"/>
        </w:rPr>
        <w:t>акта</w:t>
      </w:r>
      <w:proofErr w:type="spellEnd"/>
      <w:r>
        <w:rPr>
          <w:b/>
          <w:bCs/>
          <w:sz w:val="28"/>
          <w:szCs w:val="28"/>
          <w:lang w:val="uk-UA"/>
        </w:rPr>
        <w:t xml:space="preserve">, результативність якого відстежується: </w:t>
      </w:r>
      <w:r>
        <w:rPr>
          <w:sz w:val="28"/>
          <w:szCs w:val="28"/>
          <w:lang w:val="uk-UA"/>
        </w:rPr>
        <w:t xml:space="preserve">рішення виконавчого комітету </w:t>
      </w:r>
      <w:proofErr w:type="spellStart"/>
      <w:r>
        <w:rPr>
          <w:sz w:val="28"/>
          <w:szCs w:val="28"/>
          <w:lang w:val="uk-UA"/>
        </w:rPr>
        <w:t>Широківської</w:t>
      </w:r>
      <w:proofErr w:type="spellEnd"/>
      <w:r>
        <w:rPr>
          <w:sz w:val="28"/>
          <w:szCs w:val="28"/>
          <w:lang w:val="uk-UA"/>
        </w:rPr>
        <w:t xml:space="preserve"> сільської ради Запорізького району Запорізької області “Про порядок розміщення та демонтажу об'єктів зовнішньої реклами на території </w:t>
      </w:r>
      <w:proofErr w:type="spellStart"/>
      <w:r>
        <w:rPr>
          <w:sz w:val="28"/>
          <w:szCs w:val="28"/>
          <w:lang w:val="uk-UA"/>
        </w:rPr>
        <w:t>Широківської</w:t>
      </w:r>
      <w:proofErr w:type="spellEnd"/>
      <w:r>
        <w:rPr>
          <w:sz w:val="28"/>
          <w:szCs w:val="28"/>
          <w:lang w:val="uk-UA"/>
        </w:rPr>
        <w:t xml:space="preserve"> сільської ради Запорізького району Запорізької області” від 07 квітня 2024 року (далі </w:t>
      </w:r>
      <w:proofErr w:type="spellStart"/>
      <w:r>
        <w:rPr>
          <w:sz w:val="28"/>
          <w:szCs w:val="28"/>
          <w:lang w:val="uk-UA"/>
        </w:rPr>
        <w:t>проєкт</w:t>
      </w:r>
      <w:proofErr w:type="spellEnd"/>
      <w:r>
        <w:rPr>
          <w:sz w:val="28"/>
          <w:szCs w:val="28"/>
          <w:lang w:val="uk-UA"/>
        </w:rPr>
        <w:t xml:space="preserve"> РА).</w:t>
      </w:r>
    </w:p>
    <w:p w:rsidR="008F1EB9" w:rsidRDefault="008F1EB9" w:rsidP="008F1EB9">
      <w:pPr>
        <w:numPr>
          <w:ilvl w:val="0"/>
          <w:numId w:val="1"/>
        </w:numPr>
        <w:jc w:val="both"/>
        <w:rPr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>Виконавець заходів з відстеження:</w:t>
      </w:r>
      <w:r>
        <w:rPr>
          <w:sz w:val="28"/>
          <w:szCs w:val="28"/>
          <w:lang w:val="uk-UA"/>
        </w:rPr>
        <w:t xml:space="preserve"> відділ містобудування, архітектури, житлово-комунального господарства та благоустрою </w:t>
      </w:r>
      <w:proofErr w:type="spellStart"/>
      <w:r>
        <w:rPr>
          <w:sz w:val="28"/>
          <w:szCs w:val="28"/>
          <w:lang w:val="uk-UA"/>
        </w:rPr>
        <w:t>Широківської</w:t>
      </w:r>
      <w:proofErr w:type="spellEnd"/>
      <w:r>
        <w:rPr>
          <w:sz w:val="28"/>
          <w:szCs w:val="28"/>
          <w:lang w:val="uk-UA"/>
        </w:rPr>
        <w:t xml:space="preserve"> сільської ради (м. Запоріжжя , вул. Розенталь,7 </w:t>
      </w:r>
      <w:proofErr w:type="spellStart"/>
      <w:r>
        <w:rPr>
          <w:rFonts w:ascii="Arial" w:eastAsia="Arial" w:hAnsi="Arial" w:cs="Arial"/>
          <w:sz w:val="28"/>
          <w:szCs w:val="28"/>
          <w:shd w:val="clear" w:color="auto" w:fill="FFFFFF"/>
        </w:rPr>
        <w:t>shuroke</w:t>
      </w:r>
      <w:proofErr w:type="spellEnd"/>
      <w:r>
        <w:rPr>
          <w:rFonts w:ascii="Arial" w:eastAsia="Arial" w:hAnsi="Arial" w:cs="Arial"/>
          <w:sz w:val="28"/>
          <w:szCs w:val="28"/>
          <w:shd w:val="clear" w:color="auto" w:fill="FFFFFF"/>
          <w:lang w:val="ru-RU"/>
        </w:rPr>
        <w:t>.</w:t>
      </w:r>
      <w:proofErr w:type="spellStart"/>
      <w:r>
        <w:rPr>
          <w:rFonts w:ascii="Arial" w:eastAsia="Arial" w:hAnsi="Arial" w:cs="Arial"/>
          <w:sz w:val="28"/>
          <w:szCs w:val="28"/>
          <w:shd w:val="clear" w:color="auto" w:fill="FFFFFF"/>
        </w:rPr>
        <w:t>gkh</w:t>
      </w:r>
      <w:proofErr w:type="spellEnd"/>
      <w:r>
        <w:rPr>
          <w:rFonts w:ascii="Arial" w:eastAsia="Arial" w:hAnsi="Arial" w:cs="Arial"/>
          <w:sz w:val="28"/>
          <w:szCs w:val="28"/>
          <w:shd w:val="clear" w:color="auto" w:fill="FFFFFF"/>
          <w:lang w:val="ru-RU"/>
        </w:rPr>
        <w:t>@</w:t>
      </w:r>
      <w:proofErr w:type="spellStart"/>
      <w:r>
        <w:rPr>
          <w:rFonts w:ascii="Arial" w:eastAsia="Arial" w:hAnsi="Arial" w:cs="Arial"/>
          <w:sz w:val="28"/>
          <w:szCs w:val="28"/>
          <w:shd w:val="clear" w:color="auto" w:fill="FFFFFF"/>
        </w:rPr>
        <w:t>ukr</w:t>
      </w:r>
      <w:proofErr w:type="spellEnd"/>
      <w:r>
        <w:rPr>
          <w:rFonts w:ascii="Arial" w:eastAsia="Arial" w:hAnsi="Arial" w:cs="Arial"/>
          <w:sz w:val="28"/>
          <w:szCs w:val="28"/>
          <w:shd w:val="clear" w:color="auto" w:fill="FFFFFF"/>
          <w:lang w:val="ru-RU"/>
        </w:rPr>
        <w:t>.</w:t>
      </w:r>
      <w:r>
        <w:rPr>
          <w:rFonts w:ascii="Arial" w:eastAsia="Arial" w:hAnsi="Arial" w:cs="Arial"/>
          <w:sz w:val="28"/>
          <w:szCs w:val="28"/>
          <w:shd w:val="clear" w:color="auto" w:fill="FFFFFF"/>
        </w:rPr>
        <w:t>net</w:t>
      </w:r>
      <w:r>
        <w:rPr>
          <w:rFonts w:ascii="Arial" w:eastAsia="Arial" w:hAnsi="Arial" w:cs="Arial"/>
          <w:sz w:val="28"/>
          <w:szCs w:val="28"/>
          <w:shd w:val="clear" w:color="auto" w:fill="FFFFFF"/>
          <w:lang w:val="uk-UA"/>
        </w:rPr>
        <w:t>).</w:t>
      </w:r>
    </w:p>
    <w:p w:rsidR="008F1EB9" w:rsidRDefault="008F1EB9" w:rsidP="008F1EB9">
      <w:pPr>
        <w:numPr>
          <w:ilvl w:val="0"/>
          <w:numId w:val="1"/>
        </w:numPr>
        <w:jc w:val="both"/>
        <w:rPr>
          <w:rFonts w:ascii="Calibri" w:hAnsi="Calibri" w:cs="Calibri"/>
          <w:b/>
          <w:bCs/>
          <w:sz w:val="28"/>
          <w:szCs w:val="28"/>
          <w:lang w:val="uk-UA"/>
        </w:rPr>
      </w:pPr>
      <w:r>
        <w:rPr>
          <w:rFonts w:ascii="Calibri" w:eastAsia="Arial" w:hAnsi="Calibri" w:cs="Calibri"/>
          <w:b/>
          <w:bCs/>
          <w:sz w:val="28"/>
          <w:szCs w:val="28"/>
          <w:shd w:val="clear" w:color="auto" w:fill="FFFFFF"/>
          <w:lang w:val="uk-UA"/>
        </w:rPr>
        <w:t xml:space="preserve">Цілі прийняття </w:t>
      </w:r>
      <w:proofErr w:type="spellStart"/>
      <w:r>
        <w:rPr>
          <w:rFonts w:ascii="Calibri" w:eastAsia="Arial" w:hAnsi="Calibri" w:cs="Calibri"/>
          <w:b/>
          <w:bCs/>
          <w:sz w:val="28"/>
          <w:szCs w:val="28"/>
          <w:shd w:val="clear" w:color="auto" w:fill="FFFFFF"/>
          <w:lang w:val="uk-UA"/>
        </w:rPr>
        <w:t>акта</w:t>
      </w:r>
      <w:proofErr w:type="spellEnd"/>
      <w:r>
        <w:rPr>
          <w:rFonts w:ascii="Calibri" w:eastAsia="Arial" w:hAnsi="Calibri" w:cs="Calibri"/>
          <w:b/>
          <w:bCs/>
          <w:sz w:val="28"/>
          <w:szCs w:val="28"/>
          <w:shd w:val="clear" w:color="auto" w:fill="FFFFFF"/>
          <w:lang w:val="uk-UA"/>
        </w:rPr>
        <w:t xml:space="preserve">: </w:t>
      </w:r>
    </w:p>
    <w:p w:rsidR="008F1EB9" w:rsidRDefault="008F1EB9" w:rsidP="008F1EB9">
      <w:pPr>
        <w:jc w:val="both"/>
        <w:rPr>
          <w:sz w:val="28"/>
          <w:szCs w:val="28"/>
          <w:lang w:val="uk-UA"/>
        </w:rPr>
      </w:pPr>
      <w:r>
        <w:rPr>
          <w:rFonts w:ascii="Calibri" w:eastAsia="Arial" w:hAnsi="Calibri" w:cs="Calibri"/>
          <w:b/>
          <w:bCs/>
          <w:sz w:val="28"/>
          <w:szCs w:val="28"/>
          <w:shd w:val="clear" w:color="auto" w:fill="FFFFFF"/>
          <w:lang w:val="uk-UA"/>
        </w:rPr>
        <w:t xml:space="preserve">- </w:t>
      </w:r>
      <w:r>
        <w:rPr>
          <w:rFonts w:ascii="Calibri" w:eastAsia="Arial" w:hAnsi="Calibri" w:cs="Calibri"/>
          <w:sz w:val="28"/>
          <w:szCs w:val="28"/>
          <w:shd w:val="clear" w:color="auto" w:fill="FFFFFF"/>
          <w:lang w:val="uk-UA"/>
        </w:rPr>
        <w:t xml:space="preserve"> врегулювання порядку розміщення зовнішньої реклами  на  </w:t>
      </w:r>
      <w:proofErr w:type="spellStart"/>
      <w:r>
        <w:rPr>
          <w:sz w:val="28"/>
          <w:szCs w:val="28"/>
          <w:lang w:val="uk-UA"/>
        </w:rPr>
        <w:t>на</w:t>
      </w:r>
      <w:proofErr w:type="spellEnd"/>
      <w:r>
        <w:rPr>
          <w:sz w:val="28"/>
          <w:szCs w:val="28"/>
          <w:lang w:val="uk-UA"/>
        </w:rPr>
        <w:t xml:space="preserve"> території </w:t>
      </w:r>
      <w:proofErr w:type="spellStart"/>
      <w:r>
        <w:rPr>
          <w:sz w:val="28"/>
          <w:szCs w:val="28"/>
          <w:lang w:val="uk-UA"/>
        </w:rPr>
        <w:t>Широківської</w:t>
      </w:r>
      <w:proofErr w:type="spellEnd"/>
      <w:r>
        <w:rPr>
          <w:sz w:val="28"/>
          <w:szCs w:val="28"/>
          <w:lang w:val="uk-UA"/>
        </w:rPr>
        <w:t xml:space="preserve"> сільської ради Запорізького району Запорізької області з урахуванням вимог Закону України “Про рекламу” та Типових правил розміщення зовнішньої реклами, затверджених Постановою КМУ від 27.12.2003 № 2067 (із змінами);</w:t>
      </w:r>
    </w:p>
    <w:p w:rsidR="008F1EB9" w:rsidRDefault="008F1EB9" w:rsidP="008F1EB9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-дотримання вимог чинного законодавства щодо впорядкування, розміщення та функціювання (експлуатації) зовнішніх рекламних носіїв, їх відповідність технічним та естетичним вимогам до рекламних об'єктів на території ради;</w:t>
      </w:r>
    </w:p>
    <w:p w:rsidR="008F1EB9" w:rsidRDefault="008F1EB9" w:rsidP="008F1EB9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-забезпечення права суб'єктів господарювання на розміщення засобів зовнішньої реклами для здійснення підприємницької діяльності;</w:t>
      </w:r>
    </w:p>
    <w:p w:rsidR="008F1EB9" w:rsidRDefault="008F1EB9" w:rsidP="008F1EB9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-запобігання самовільного та безоплатного розміщення конструкцій зовнішньої реклами на території міста;</w:t>
      </w:r>
    </w:p>
    <w:p w:rsidR="008F1EB9" w:rsidRDefault="008F1EB9" w:rsidP="008F1EB9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Регулювання діяльності щодо розміщення зовнішньої реклами.</w:t>
      </w:r>
    </w:p>
    <w:p w:rsidR="008F1EB9" w:rsidRDefault="008F1EB9" w:rsidP="008F1EB9">
      <w:pPr>
        <w:numPr>
          <w:ilvl w:val="0"/>
          <w:numId w:val="1"/>
        </w:numPr>
        <w:jc w:val="both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 xml:space="preserve">Цільова група: </w:t>
      </w:r>
      <w:r>
        <w:rPr>
          <w:sz w:val="28"/>
          <w:szCs w:val="28"/>
          <w:lang w:val="uk-UA"/>
        </w:rPr>
        <w:t>Базова група дослідження суб'єктів підприємницької діяльності - розповсюджувачі зовнішньої реклами, з якими укладено договір про тимчасове користування місцями розташування рекламних засобів.</w:t>
      </w:r>
    </w:p>
    <w:p w:rsidR="008F1EB9" w:rsidRDefault="008F1EB9" w:rsidP="008F1EB9">
      <w:pPr>
        <w:numPr>
          <w:ilvl w:val="0"/>
          <w:numId w:val="1"/>
        </w:numPr>
        <w:jc w:val="both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 xml:space="preserve">Показники визначення ефективності регуляторного </w:t>
      </w:r>
      <w:proofErr w:type="spellStart"/>
      <w:r>
        <w:rPr>
          <w:b/>
          <w:bCs/>
          <w:sz w:val="28"/>
          <w:szCs w:val="28"/>
          <w:lang w:val="uk-UA"/>
        </w:rPr>
        <w:t>акта</w:t>
      </w:r>
      <w:proofErr w:type="spellEnd"/>
      <w:r>
        <w:rPr>
          <w:b/>
          <w:bCs/>
          <w:sz w:val="28"/>
          <w:szCs w:val="28"/>
          <w:lang w:val="uk-UA"/>
        </w:rPr>
        <w:t xml:space="preserve">: </w:t>
      </w:r>
    </w:p>
    <w:p w:rsidR="008F1EB9" w:rsidRDefault="008F1EB9" w:rsidP="008F1EB9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5.1 Загальна кількість розповсюджувачів зовнішньої реклами з яким укладено договір на тимчасове користування місцями розташування рекламних засобів, як в період пріоритету так і самого використання рекламного засобу на території ради.</w:t>
      </w:r>
    </w:p>
    <w:p w:rsidR="008F1EB9" w:rsidRDefault="008F1EB9" w:rsidP="008F1EB9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5.2 Загальна кількість рекламних конструкцій.</w:t>
      </w:r>
    </w:p>
    <w:p w:rsidR="008F1EB9" w:rsidRDefault="008F1EB9" w:rsidP="008F1EB9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5.3 Загальна кількість дозволів на розміщення реклами.</w:t>
      </w:r>
    </w:p>
    <w:p w:rsidR="008F1EB9" w:rsidRDefault="008F1EB9" w:rsidP="008F1EB9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5.4 Кількість приписів щодо порушення правил розміщення реклами та ЗУ “Про рекламу”.</w:t>
      </w:r>
    </w:p>
    <w:p w:rsidR="008F1EB9" w:rsidRDefault="008F1EB9" w:rsidP="008F1EB9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>5.5 Естетичні зміни- при погодженні дозволів на розміщення реклами враховується класифікатор рекламних конструкцій, що уніфікує зовнішній вигляд рекламних конструкцій згідно вимог концепції та стилістики історичного середовища населеного пункту.</w:t>
      </w:r>
    </w:p>
    <w:p w:rsidR="008F1EB9" w:rsidRDefault="008F1EB9" w:rsidP="008F1EB9">
      <w:pPr>
        <w:numPr>
          <w:ilvl w:val="0"/>
          <w:numId w:val="1"/>
        </w:numPr>
        <w:jc w:val="both"/>
        <w:rPr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>Строк виконання заходів з відстеження</w:t>
      </w:r>
      <w:r>
        <w:rPr>
          <w:sz w:val="28"/>
          <w:szCs w:val="28"/>
          <w:lang w:val="uk-UA"/>
        </w:rPr>
        <w:t xml:space="preserve"> до моменту прийняття рішення виконавчим комітетом </w:t>
      </w:r>
      <w:proofErr w:type="spellStart"/>
      <w:r>
        <w:rPr>
          <w:sz w:val="28"/>
          <w:szCs w:val="28"/>
          <w:lang w:val="uk-UA"/>
        </w:rPr>
        <w:t>Широківської</w:t>
      </w:r>
      <w:proofErr w:type="spellEnd"/>
      <w:r>
        <w:rPr>
          <w:sz w:val="28"/>
          <w:szCs w:val="28"/>
          <w:lang w:val="uk-UA"/>
        </w:rPr>
        <w:t xml:space="preserve"> сільської ради Запорізького району Запорізької області </w:t>
      </w:r>
      <w:r>
        <w:rPr>
          <w:color w:val="FF0000"/>
          <w:sz w:val="28"/>
          <w:szCs w:val="28"/>
          <w:lang w:val="uk-UA"/>
        </w:rPr>
        <w:t>30.04.2026 року.</w:t>
      </w:r>
    </w:p>
    <w:p w:rsidR="008F1EB9" w:rsidRDefault="008F1EB9" w:rsidP="008F1EB9">
      <w:pPr>
        <w:numPr>
          <w:ilvl w:val="0"/>
          <w:numId w:val="1"/>
        </w:numPr>
        <w:jc w:val="both"/>
        <w:rPr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>Тип відстеження:</w:t>
      </w:r>
      <w:r>
        <w:rPr>
          <w:sz w:val="28"/>
          <w:szCs w:val="28"/>
          <w:lang w:val="uk-UA"/>
        </w:rPr>
        <w:t xml:space="preserve"> базове.</w:t>
      </w:r>
    </w:p>
    <w:p w:rsidR="008F1EB9" w:rsidRDefault="008F1EB9" w:rsidP="008F1EB9">
      <w:pPr>
        <w:numPr>
          <w:ilvl w:val="0"/>
          <w:numId w:val="1"/>
        </w:numPr>
        <w:jc w:val="both"/>
        <w:rPr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>Методи одержання результатів відстеження:</w:t>
      </w:r>
      <w:r>
        <w:rPr>
          <w:sz w:val="28"/>
          <w:szCs w:val="28"/>
          <w:lang w:val="uk-UA"/>
        </w:rPr>
        <w:t xml:space="preserve"> статистичний та соціологічний (метод збору даних)</w:t>
      </w:r>
    </w:p>
    <w:p w:rsidR="008F1EB9" w:rsidRDefault="008F1EB9" w:rsidP="008F1EB9">
      <w:pPr>
        <w:numPr>
          <w:ilvl w:val="0"/>
          <w:numId w:val="1"/>
        </w:numPr>
        <w:jc w:val="both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>Дані та припущення, на основі яких відстежувалась результативність, а також спроби одержання даних:</w:t>
      </w:r>
      <w:r>
        <w:rPr>
          <w:sz w:val="28"/>
          <w:szCs w:val="28"/>
          <w:lang w:val="uk-UA"/>
        </w:rPr>
        <w:t xml:space="preserve"> відстеження результативності регуляторного акту здійснювалося шляхом аналізу інформації наявної в розпорядженні відділу та статистичні дані.</w:t>
      </w:r>
    </w:p>
    <w:p w:rsidR="008F1EB9" w:rsidRDefault="008F1EB9" w:rsidP="008F1EB9">
      <w:pPr>
        <w:numPr>
          <w:ilvl w:val="0"/>
          <w:numId w:val="1"/>
        </w:numPr>
        <w:jc w:val="both"/>
        <w:rPr>
          <w:b/>
          <w:bCs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Підвищення рівня інформованості громадян та суб'єктів господарювання щодо основних положень  регуляторного акту досягнуто шляхом оприлюднення регуляторного акту на офіційному </w:t>
      </w:r>
      <w:proofErr w:type="spellStart"/>
      <w:r>
        <w:rPr>
          <w:sz w:val="28"/>
          <w:szCs w:val="28"/>
          <w:lang w:val="uk-UA"/>
        </w:rPr>
        <w:t>вебсайті</w:t>
      </w:r>
      <w:proofErr w:type="spellEnd"/>
      <w:r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  <w:lang w:val="uk-UA"/>
        </w:rPr>
        <w:t>Широківської</w:t>
      </w:r>
      <w:proofErr w:type="spellEnd"/>
      <w:r>
        <w:rPr>
          <w:sz w:val="28"/>
          <w:szCs w:val="28"/>
          <w:lang w:val="uk-UA"/>
        </w:rPr>
        <w:t xml:space="preserve"> сільської ради Запорізького району Запорізької області.</w:t>
      </w:r>
    </w:p>
    <w:p w:rsidR="008F1EB9" w:rsidRDefault="008F1EB9" w:rsidP="008F1EB9">
      <w:pPr>
        <w:numPr>
          <w:ilvl w:val="0"/>
          <w:numId w:val="1"/>
        </w:numPr>
        <w:jc w:val="both"/>
        <w:rPr>
          <w:b/>
          <w:bCs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Оцінка результатів регуляторного акту та ступеня досягнення визначених цілей: базове відстеження результативності акту показує велику </w:t>
      </w:r>
      <w:proofErr w:type="spellStart"/>
      <w:r>
        <w:rPr>
          <w:sz w:val="28"/>
          <w:szCs w:val="28"/>
          <w:lang w:val="uk-UA"/>
        </w:rPr>
        <w:t>вирогідність</w:t>
      </w:r>
      <w:proofErr w:type="spellEnd"/>
      <w:r>
        <w:rPr>
          <w:sz w:val="28"/>
          <w:szCs w:val="28"/>
          <w:lang w:val="uk-UA"/>
        </w:rPr>
        <w:t xml:space="preserve"> досягнення </w:t>
      </w:r>
      <w:proofErr w:type="spellStart"/>
      <w:r>
        <w:rPr>
          <w:sz w:val="28"/>
          <w:szCs w:val="28"/>
          <w:lang w:val="uk-UA"/>
        </w:rPr>
        <w:t>проєктом</w:t>
      </w:r>
      <w:proofErr w:type="spellEnd"/>
      <w:r>
        <w:rPr>
          <w:sz w:val="28"/>
          <w:szCs w:val="28"/>
          <w:lang w:val="uk-UA"/>
        </w:rPr>
        <w:t xml:space="preserve"> більшості з цілей. Прийняття рішення дозволить впорядкувати процеси в питанні порядку розміщення зовнішньої реклами.</w:t>
      </w:r>
    </w:p>
    <w:p w:rsidR="008F1EB9" w:rsidRDefault="008F1EB9" w:rsidP="008F1EB9">
      <w:pPr>
        <w:ind w:firstLineChars="200" w:firstLine="562"/>
        <w:jc w:val="both"/>
        <w:rPr>
          <w:b/>
          <w:bCs/>
          <w:sz w:val="28"/>
          <w:szCs w:val="28"/>
          <w:lang w:val="uk-UA"/>
        </w:rPr>
      </w:pPr>
    </w:p>
    <w:p w:rsidR="008F1EB9" w:rsidRDefault="008F1EB9" w:rsidP="008F1EB9">
      <w:pPr>
        <w:ind w:firstLineChars="200" w:firstLine="562"/>
        <w:jc w:val="both"/>
        <w:rPr>
          <w:b/>
          <w:bCs/>
          <w:sz w:val="28"/>
          <w:szCs w:val="28"/>
          <w:lang w:val="uk-UA"/>
        </w:rPr>
      </w:pPr>
    </w:p>
    <w:p w:rsidR="008F1EB9" w:rsidRDefault="008F1EB9" w:rsidP="008F1EB9">
      <w:pPr>
        <w:ind w:firstLineChars="200" w:firstLine="562"/>
        <w:jc w:val="both"/>
        <w:rPr>
          <w:b/>
          <w:bCs/>
          <w:sz w:val="28"/>
          <w:szCs w:val="28"/>
          <w:lang w:val="uk-UA"/>
        </w:rPr>
      </w:pPr>
    </w:p>
    <w:p w:rsidR="008F1EB9" w:rsidRDefault="008F1EB9" w:rsidP="008F1EB9">
      <w:pPr>
        <w:ind w:firstLineChars="200" w:firstLine="562"/>
        <w:jc w:val="both"/>
        <w:rPr>
          <w:b/>
          <w:bCs/>
          <w:sz w:val="28"/>
          <w:szCs w:val="28"/>
          <w:lang w:val="uk-UA"/>
        </w:rPr>
      </w:pPr>
    </w:p>
    <w:p w:rsidR="008F1EB9" w:rsidRDefault="008F1EB9" w:rsidP="008F1EB9">
      <w:pPr>
        <w:ind w:firstLineChars="200" w:firstLine="562"/>
        <w:jc w:val="both"/>
        <w:rPr>
          <w:b/>
          <w:bCs/>
          <w:sz w:val="28"/>
          <w:szCs w:val="28"/>
          <w:lang w:val="uk-UA"/>
        </w:rPr>
      </w:pPr>
    </w:p>
    <w:p w:rsidR="008F1EB9" w:rsidRDefault="008F1EB9" w:rsidP="008F1EB9">
      <w:pPr>
        <w:ind w:firstLineChars="200" w:firstLine="562"/>
        <w:jc w:val="both"/>
        <w:rPr>
          <w:b/>
          <w:bCs/>
          <w:sz w:val="28"/>
          <w:szCs w:val="28"/>
          <w:lang w:val="uk-UA"/>
        </w:rPr>
      </w:pPr>
    </w:p>
    <w:p w:rsidR="008F1EB9" w:rsidRDefault="008F1EB9" w:rsidP="008F1EB9">
      <w:pPr>
        <w:ind w:firstLineChars="200" w:firstLine="562"/>
        <w:jc w:val="both"/>
        <w:rPr>
          <w:b/>
          <w:bCs/>
          <w:sz w:val="28"/>
          <w:szCs w:val="28"/>
          <w:lang w:val="uk-UA"/>
        </w:rPr>
      </w:pPr>
    </w:p>
    <w:p w:rsidR="008F1EB9" w:rsidRDefault="008F1EB9" w:rsidP="008F1EB9">
      <w:pPr>
        <w:ind w:firstLineChars="200" w:firstLine="562"/>
        <w:jc w:val="both"/>
        <w:rPr>
          <w:b/>
          <w:bCs/>
          <w:sz w:val="28"/>
          <w:szCs w:val="28"/>
          <w:lang w:val="uk-UA"/>
        </w:rPr>
      </w:pPr>
    </w:p>
    <w:p w:rsidR="008F1EB9" w:rsidRDefault="008F1EB9" w:rsidP="008F1EB9">
      <w:pPr>
        <w:ind w:firstLineChars="200" w:firstLine="562"/>
        <w:jc w:val="both"/>
        <w:rPr>
          <w:b/>
          <w:bCs/>
          <w:sz w:val="28"/>
          <w:szCs w:val="28"/>
          <w:lang w:val="uk-UA"/>
        </w:rPr>
      </w:pPr>
    </w:p>
    <w:p w:rsidR="008F1EB9" w:rsidRDefault="008F1EB9" w:rsidP="008F1EB9">
      <w:pPr>
        <w:ind w:firstLineChars="200" w:firstLine="562"/>
        <w:jc w:val="both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>Кількісні та якісні значення показників результативності акту</w:t>
      </w:r>
    </w:p>
    <w:p w:rsidR="008F1EB9" w:rsidRDefault="008F1EB9" w:rsidP="008F1EB9">
      <w:pPr>
        <w:ind w:firstLineChars="200" w:firstLine="562"/>
        <w:jc w:val="both"/>
        <w:rPr>
          <w:b/>
          <w:bCs/>
          <w:sz w:val="28"/>
          <w:szCs w:val="28"/>
          <w:lang w:val="uk-UA"/>
        </w:rPr>
      </w:pPr>
    </w:p>
    <w:tbl>
      <w:tblPr>
        <w:tblStyle w:val="a3"/>
        <w:tblW w:w="7875" w:type="dxa"/>
        <w:tblInd w:w="68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21"/>
        <w:gridCol w:w="2295"/>
        <w:gridCol w:w="1501"/>
        <w:gridCol w:w="3558"/>
      </w:tblGrid>
      <w:tr w:rsidR="008F1EB9" w:rsidTr="008F1EB9">
        <w:trPr>
          <w:trHeight w:val="390"/>
        </w:trPr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1EB9" w:rsidRDefault="008F1EB9">
            <w:pPr>
              <w:rPr>
                <w:b/>
                <w:bCs/>
                <w:i/>
                <w:iCs/>
                <w:lang w:val="uk-UA"/>
              </w:rPr>
            </w:pPr>
            <w:r>
              <w:rPr>
                <w:b/>
                <w:bCs/>
                <w:i/>
                <w:iCs/>
                <w:lang w:val="uk-UA"/>
              </w:rPr>
              <w:t>№</w:t>
            </w:r>
          </w:p>
        </w:tc>
        <w:tc>
          <w:tcPr>
            <w:tcW w:w="2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1EB9" w:rsidRDefault="008F1EB9">
            <w:pPr>
              <w:rPr>
                <w:b/>
                <w:bCs/>
                <w:i/>
                <w:iCs/>
                <w:lang w:val="uk-UA"/>
              </w:rPr>
            </w:pPr>
            <w:r>
              <w:rPr>
                <w:b/>
                <w:bCs/>
                <w:i/>
                <w:iCs/>
                <w:lang w:val="uk-UA"/>
              </w:rPr>
              <w:t>Показники результативності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1EB9" w:rsidRDefault="008F1EB9">
            <w:pPr>
              <w:rPr>
                <w:b/>
                <w:bCs/>
                <w:i/>
                <w:iCs/>
                <w:lang w:val="uk-UA"/>
              </w:rPr>
            </w:pPr>
            <w:r>
              <w:rPr>
                <w:b/>
                <w:bCs/>
                <w:i/>
                <w:iCs/>
                <w:lang w:val="uk-UA"/>
              </w:rPr>
              <w:t>Станом на 01.01.2025</w:t>
            </w:r>
          </w:p>
          <w:p w:rsidR="008F1EB9" w:rsidRDefault="008F1EB9">
            <w:pPr>
              <w:rPr>
                <w:b/>
                <w:bCs/>
                <w:i/>
                <w:iCs/>
                <w:lang w:val="uk-UA"/>
              </w:rPr>
            </w:pPr>
            <w:r>
              <w:rPr>
                <w:b/>
                <w:bCs/>
                <w:i/>
                <w:iCs/>
                <w:lang w:val="uk-UA"/>
              </w:rPr>
              <w:t>(факт)</w:t>
            </w:r>
          </w:p>
        </w:tc>
        <w:tc>
          <w:tcPr>
            <w:tcW w:w="3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1EB9" w:rsidRDefault="008F1EB9">
            <w:pPr>
              <w:rPr>
                <w:b/>
                <w:bCs/>
                <w:i/>
                <w:iCs/>
                <w:lang w:val="uk-UA"/>
              </w:rPr>
            </w:pPr>
            <w:r>
              <w:rPr>
                <w:b/>
                <w:bCs/>
                <w:i/>
                <w:iCs/>
                <w:lang w:val="uk-UA"/>
              </w:rPr>
              <w:t xml:space="preserve"> Прогноз</w:t>
            </w:r>
          </w:p>
        </w:tc>
      </w:tr>
      <w:tr w:rsidR="008F1EB9" w:rsidTr="008F1EB9">
        <w:trPr>
          <w:trHeight w:val="390"/>
        </w:trPr>
        <w:tc>
          <w:tcPr>
            <w:tcW w:w="787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1EB9" w:rsidRDefault="008F1EB9">
            <w:pPr>
              <w:jc w:val="center"/>
              <w:rPr>
                <w:b/>
                <w:bCs/>
                <w:sz w:val="28"/>
                <w:szCs w:val="28"/>
                <w:lang w:val="uk-UA"/>
              </w:rPr>
            </w:pPr>
            <w:r>
              <w:rPr>
                <w:b/>
                <w:bCs/>
                <w:i/>
                <w:iCs/>
                <w:sz w:val="28"/>
                <w:szCs w:val="28"/>
                <w:lang w:val="uk-UA"/>
              </w:rPr>
              <w:t>Кількісні</w:t>
            </w:r>
          </w:p>
        </w:tc>
      </w:tr>
      <w:tr w:rsidR="008F1EB9" w:rsidRPr="0035510A" w:rsidTr="008F1EB9">
        <w:trPr>
          <w:trHeight w:val="390"/>
        </w:trPr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1EB9" w:rsidRDefault="008F1EB9">
            <w:pPr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1</w:t>
            </w:r>
          </w:p>
        </w:tc>
        <w:tc>
          <w:tcPr>
            <w:tcW w:w="2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1EB9" w:rsidRDefault="008F1EB9">
            <w:pPr>
              <w:rPr>
                <w:b/>
                <w:bCs/>
                <w:sz w:val="28"/>
                <w:szCs w:val="2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 xml:space="preserve">Кількість суб'єктів господарювання на яких розповсюджується дія </w:t>
            </w:r>
            <w:proofErr w:type="spellStart"/>
            <w:r>
              <w:rPr>
                <w:sz w:val="18"/>
                <w:szCs w:val="18"/>
                <w:lang w:val="uk-UA"/>
              </w:rPr>
              <w:t>акта</w:t>
            </w:r>
            <w:proofErr w:type="spellEnd"/>
            <w:r>
              <w:rPr>
                <w:sz w:val="18"/>
                <w:szCs w:val="18"/>
                <w:lang w:val="uk-UA"/>
              </w:rPr>
              <w:t>, осіб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1EB9" w:rsidRDefault="008F1EB9">
            <w:pPr>
              <w:rPr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3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1EB9" w:rsidRDefault="008F1EB9">
            <w:pPr>
              <w:rPr>
                <w:b/>
                <w:bCs/>
                <w:sz w:val="28"/>
                <w:szCs w:val="28"/>
                <w:lang w:val="uk-UA"/>
              </w:rPr>
            </w:pPr>
          </w:p>
        </w:tc>
      </w:tr>
      <w:tr w:rsidR="008F1EB9" w:rsidTr="008F1EB9">
        <w:trPr>
          <w:trHeight w:val="390"/>
        </w:trPr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1EB9" w:rsidRDefault="008F1EB9">
            <w:pPr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2</w:t>
            </w:r>
          </w:p>
        </w:tc>
        <w:tc>
          <w:tcPr>
            <w:tcW w:w="2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1EB9" w:rsidRDefault="008F1EB9">
            <w:pPr>
              <w:rPr>
                <w:b/>
                <w:bCs/>
                <w:sz w:val="28"/>
                <w:szCs w:val="2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 xml:space="preserve">Кількість поданих заяв про надання дозволу на розміщення зовнішньої </w:t>
            </w:r>
            <w:proofErr w:type="spellStart"/>
            <w:r>
              <w:rPr>
                <w:sz w:val="18"/>
                <w:szCs w:val="18"/>
                <w:lang w:val="uk-UA"/>
              </w:rPr>
              <w:t>реклами,од</w:t>
            </w:r>
            <w:proofErr w:type="spellEnd"/>
            <w:r>
              <w:rPr>
                <w:sz w:val="18"/>
                <w:szCs w:val="18"/>
                <w:lang w:val="uk-UA"/>
              </w:rPr>
              <w:t>.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1EB9" w:rsidRDefault="008F1EB9">
            <w:pPr>
              <w:jc w:val="center"/>
              <w:rPr>
                <w:b/>
                <w:bCs/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</w:t>
            </w:r>
          </w:p>
        </w:tc>
        <w:tc>
          <w:tcPr>
            <w:tcW w:w="3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1EB9" w:rsidRDefault="008F1EB9">
            <w:pPr>
              <w:jc w:val="center"/>
              <w:rPr>
                <w:b/>
                <w:bCs/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1-2</w:t>
            </w:r>
          </w:p>
        </w:tc>
      </w:tr>
      <w:tr w:rsidR="008F1EB9" w:rsidTr="008F1EB9">
        <w:trPr>
          <w:trHeight w:val="390"/>
        </w:trPr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1EB9" w:rsidRDefault="008F1EB9">
            <w:pPr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3</w:t>
            </w:r>
          </w:p>
        </w:tc>
        <w:tc>
          <w:tcPr>
            <w:tcW w:w="2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1EB9" w:rsidRDefault="008F1EB9">
            <w:pPr>
              <w:rPr>
                <w:b/>
                <w:bCs/>
                <w:sz w:val="28"/>
                <w:szCs w:val="2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 xml:space="preserve">Кількість наданих дозволів на розміщення зовнішньої </w:t>
            </w:r>
            <w:r>
              <w:rPr>
                <w:sz w:val="18"/>
                <w:szCs w:val="18"/>
                <w:lang w:val="uk-UA"/>
              </w:rPr>
              <w:lastRenderedPageBreak/>
              <w:t>реклами, од.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1EB9" w:rsidRDefault="008F1EB9">
            <w:pPr>
              <w:jc w:val="center"/>
              <w:rPr>
                <w:b/>
                <w:bCs/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lastRenderedPageBreak/>
              <w:t>0</w:t>
            </w:r>
          </w:p>
        </w:tc>
        <w:tc>
          <w:tcPr>
            <w:tcW w:w="3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1EB9" w:rsidRDefault="008F1EB9">
            <w:pPr>
              <w:jc w:val="center"/>
              <w:rPr>
                <w:b/>
                <w:bCs/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1-2</w:t>
            </w:r>
          </w:p>
        </w:tc>
      </w:tr>
      <w:tr w:rsidR="008F1EB9" w:rsidTr="008F1EB9">
        <w:trPr>
          <w:trHeight w:val="390"/>
        </w:trPr>
        <w:tc>
          <w:tcPr>
            <w:tcW w:w="787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1EB9" w:rsidRDefault="008F1EB9">
            <w:pPr>
              <w:jc w:val="center"/>
              <w:rPr>
                <w:b/>
                <w:bCs/>
                <w:sz w:val="28"/>
                <w:szCs w:val="28"/>
                <w:lang w:val="uk-UA"/>
              </w:rPr>
            </w:pPr>
            <w:r>
              <w:rPr>
                <w:b/>
                <w:bCs/>
                <w:i/>
                <w:iCs/>
                <w:sz w:val="28"/>
                <w:szCs w:val="28"/>
                <w:lang w:val="uk-UA"/>
              </w:rPr>
              <w:t>Якісні</w:t>
            </w:r>
          </w:p>
        </w:tc>
      </w:tr>
      <w:tr w:rsidR="008F1EB9" w:rsidTr="008F1EB9">
        <w:trPr>
          <w:trHeight w:val="390"/>
        </w:trPr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1EB9" w:rsidRDefault="008F1EB9">
            <w:pPr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4</w:t>
            </w:r>
          </w:p>
        </w:tc>
        <w:tc>
          <w:tcPr>
            <w:tcW w:w="2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1EB9" w:rsidRDefault="008F1EB9">
            <w:pPr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Рівень інформованості суб'єктів господарювання щодо основних положень регуляторного акту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1EB9" w:rsidRDefault="008F1EB9">
            <w:pPr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4</w:t>
            </w:r>
          </w:p>
        </w:tc>
        <w:tc>
          <w:tcPr>
            <w:tcW w:w="3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1EB9" w:rsidRDefault="008F1EB9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5</w:t>
            </w:r>
          </w:p>
        </w:tc>
      </w:tr>
      <w:tr w:rsidR="008F1EB9" w:rsidTr="008F1EB9">
        <w:trPr>
          <w:trHeight w:val="390"/>
        </w:trPr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1EB9" w:rsidRDefault="008F1EB9">
            <w:pPr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5</w:t>
            </w:r>
          </w:p>
        </w:tc>
        <w:tc>
          <w:tcPr>
            <w:tcW w:w="2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1EB9" w:rsidRDefault="008F1EB9">
            <w:pPr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 xml:space="preserve">Рівень збалансування інтересів надавачів послуг, </w:t>
            </w:r>
            <w:proofErr w:type="spellStart"/>
            <w:r>
              <w:rPr>
                <w:sz w:val="18"/>
                <w:szCs w:val="18"/>
                <w:lang w:val="uk-UA"/>
              </w:rPr>
              <w:t>рекламорозповсюджувачів</w:t>
            </w:r>
            <w:proofErr w:type="spellEnd"/>
            <w:r>
              <w:rPr>
                <w:sz w:val="18"/>
                <w:szCs w:val="18"/>
                <w:lang w:val="uk-UA"/>
              </w:rPr>
              <w:t xml:space="preserve"> та органів місцевого самоврядування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1EB9" w:rsidRDefault="008F1EB9">
            <w:pPr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4</w:t>
            </w:r>
          </w:p>
        </w:tc>
        <w:tc>
          <w:tcPr>
            <w:tcW w:w="3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1EB9" w:rsidRDefault="008F1EB9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5</w:t>
            </w:r>
          </w:p>
        </w:tc>
      </w:tr>
    </w:tbl>
    <w:p w:rsidR="008F1EB9" w:rsidRDefault="008F1EB9" w:rsidP="008F1EB9">
      <w:pPr>
        <w:ind w:firstLineChars="200" w:firstLine="562"/>
        <w:jc w:val="both"/>
        <w:rPr>
          <w:b/>
          <w:bCs/>
          <w:sz w:val="28"/>
          <w:szCs w:val="28"/>
          <w:lang w:val="uk-UA"/>
        </w:rPr>
      </w:pPr>
    </w:p>
    <w:p w:rsidR="008F1EB9" w:rsidRDefault="008F1EB9" w:rsidP="008F1EB9">
      <w:pPr>
        <w:ind w:firstLineChars="200" w:firstLine="562"/>
        <w:jc w:val="both"/>
        <w:rPr>
          <w:b/>
          <w:bCs/>
          <w:sz w:val="28"/>
          <w:szCs w:val="28"/>
          <w:lang w:val="uk-UA"/>
        </w:rPr>
      </w:pPr>
    </w:p>
    <w:p w:rsidR="008F1EB9" w:rsidRDefault="008F1EB9" w:rsidP="008F1EB9">
      <w:pPr>
        <w:jc w:val="both"/>
        <w:rPr>
          <w:sz w:val="28"/>
          <w:szCs w:val="28"/>
          <w:lang w:val="uk-UA"/>
        </w:rPr>
      </w:pPr>
    </w:p>
    <w:p w:rsidR="008F1EB9" w:rsidRDefault="008F1EB9" w:rsidP="008F1EB9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Повторне та періодичне відстеження результативності регуляторного </w:t>
      </w:r>
      <w:proofErr w:type="spellStart"/>
      <w:r>
        <w:rPr>
          <w:sz w:val="28"/>
          <w:szCs w:val="28"/>
          <w:lang w:val="uk-UA"/>
        </w:rPr>
        <w:t>акта</w:t>
      </w:r>
      <w:proofErr w:type="spellEnd"/>
      <w:r>
        <w:rPr>
          <w:sz w:val="28"/>
          <w:szCs w:val="28"/>
          <w:lang w:val="uk-UA"/>
        </w:rPr>
        <w:t xml:space="preserve"> буде проведено у терміни, визначені Законом України “Про засади державної регуляторної політики у сфері господарської діяльності” та Методикою проведення аналізу впливу регуляторного акту, затвердженою Постановою Кабінету Міністрів України від 11.03.2004 року № 308 (із змінами).</w:t>
      </w:r>
    </w:p>
    <w:p w:rsidR="008F1EB9" w:rsidRDefault="008F1EB9" w:rsidP="008F1EB9">
      <w:pPr>
        <w:jc w:val="both"/>
        <w:rPr>
          <w:sz w:val="28"/>
          <w:szCs w:val="28"/>
          <w:lang w:val="uk-UA"/>
        </w:rPr>
      </w:pPr>
    </w:p>
    <w:p w:rsidR="008F1EB9" w:rsidRDefault="008F1EB9" w:rsidP="008F1EB9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Сільський  голова                                                             Денис КОРОТЕНКО</w:t>
      </w:r>
    </w:p>
    <w:p w:rsidR="008F1EB9" w:rsidRDefault="008F1EB9" w:rsidP="008F1EB9">
      <w:pPr>
        <w:jc w:val="both"/>
        <w:rPr>
          <w:sz w:val="28"/>
          <w:szCs w:val="28"/>
          <w:lang w:val="uk-UA"/>
        </w:rPr>
      </w:pPr>
    </w:p>
    <w:p w:rsidR="00F01561" w:rsidRDefault="00F01561"/>
    <w:p w:rsidR="0035510A" w:rsidRDefault="0035510A"/>
    <w:p w:rsidR="0035510A" w:rsidRDefault="0035510A"/>
    <w:p w:rsidR="0035510A" w:rsidRDefault="0035510A"/>
    <w:p w:rsidR="0035510A" w:rsidRDefault="0035510A"/>
    <w:p w:rsidR="0035510A" w:rsidRDefault="0035510A"/>
    <w:p w:rsidR="0035510A" w:rsidRDefault="0035510A"/>
    <w:p w:rsidR="0035510A" w:rsidRDefault="0035510A"/>
    <w:p w:rsidR="0035510A" w:rsidRDefault="0035510A"/>
    <w:p w:rsidR="0035510A" w:rsidRDefault="0035510A"/>
    <w:p w:rsidR="0035510A" w:rsidRDefault="0035510A"/>
    <w:p w:rsidR="0035510A" w:rsidRDefault="0035510A"/>
    <w:p w:rsidR="0035510A" w:rsidRDefault="0035510A"/>
    <w:p w:rsidR="0035510A" w:rsidRDefault="0035510A"/>
    <w:p w:rsidR="0035510A" w:rsidRDefault="0035510A"/>
    <w:p w:rsidR="0035510A" w:rsidRDefault="0035510A"/>
    <w:p w:rsidR="0035510A" w:rsidRDefault="0035510A"/>
    <w:p w:rsidR="0035510A" w:rsidRDefault="0035510A"/>
    <w:p w:rsidR="0035510A" w:rsidRDefault="0035510A"/>
    <w:p w:rsidR="0035510A" w:rsidRDefault="0035510A"/>
    <w:p w:rsidR="0035510A" w:rsidRDefault="0035510A"/>
    <w:p w:rsidR="0035510A" w:rsidRDefault="0035510A"/>
    <w:p w:rsidR="0035510A" w:rsidRDefault="0035510A"/>
    <w:p w:rsidR="0035510A" w:rsidRDefault="0035510A"/>
    <w:p w:rsidR="0035510A" w:rsidRDefault="0035510A"/>
    <w:p w:rsidR="0035510A" w:rsidRDefault="0035510A"/>
    <w:p w:rsidR="0035510A" w:rsidRDefault="0035510A"/>
    <w:p w:rsidR="0035510A" w:rsidRDefault="0035510A"/>
    <w:p w:rsidR="0035510A" w:rsidRDefault="0035510A"/>
    <w:p w:rsidR="0035510A" w:rsidRDefault="0035510A"/>
    <w:p w:rsidR="0035510A" w:rsidRDefault="0035510A"/>
    <w:p w:rsidR="0035510A" w:rsidRDefault="0035510A"/>
    <w:p w:rsidR="0035510A" w:rsidRDefault="0035510A"/>
    <w:p w:rsidR="0035510A" w:rsidRDefault="0035510A"/>
    <w:p w:rsidR="0035510A" w:rsidRDefault="0035510A" w:rsidP="0035510A">
      <w:pPr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ЗВІТ </w:t>
      </w:r>
    </w:p>
    <w:p w:rsidR="0035510A" w:rsidRDefault="0035510A" w:rsidP="0035510A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Про повторне відстеження результативності регуляторного акту </w:t>
      </w:r>
    </w:p>
    <w:p w:rsidR="0035510A" w:rsidRDefault="0035510A" w:rsidP="0035510A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рішення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рішення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виконавчого комітету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Широківської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сільської ради Запорізького району Запорізької області “Про порядок розміщення та демонтажу об'єктів зовнішньої реклами на території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Широківської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сільської ради Запорізького району Запорізької області” від 07 квітня 2024 року</w:t>
      </w:r>
    </w:p>
    <w:p w:rsidR="0035510A" w:rsidRDefault="0035510A" w:rsidP="0035510A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35510A" w:rsidRDefault="0035510A" w:rsidP="0035510A">
      <w:pPr>
        <w:numPr>
          <w:ilvl w:val="0"/>
          <w:numId w:val="2"/>
        </w:numPr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Вид та назва регуляторного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акта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:</w:t>
      </w:r>
    </w:p>
    <w:p w:rsidR="0035510A" w:rsidRDefault="0035510A" w:rsidP="0035510A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35510A" w:rsidRDefault="0035510A" w:rsidP="0035510A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Рішення виконавчого комітету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Широківської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сільської ради Запорізького району Запорізької області “Про порядок розміщення та демонтажу об'єктів зовнішньої реклами на території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Широківської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сільської ради Запорізького району Запорізької області” від 07 квітня 2024 року.</w:t>
      </w:r>
    </w:p>
    <w:p w:rsidR="0035510A" w:rsidRDefault="0035510A" w:rsidP="0035510A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35510A" w:rsidRDefault="0035510A" w:rsidP="0035510A">
      <w:pPr>
        <w:numPr>
          <w:ilvl w:val="0"/>
          <w:numId w:val="2"/>
        </w:numPr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Виконавець заходів з відстеження:</w:t>
      </w:r>
    </w:p>
    <w:p w:rsidR="0035510A" w:rsidRDefault="0035510A" w:rsidP="0035510A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35510A" w:rsidRDefault="0035510A" w:rsidP="0035510A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Широківська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сільська рада Запорізького району Запорізької області.</w:t>
      </w:r>
    </w:p>
    <w:p w:rsidR="0035510A" w:rsidRDefault="0035510A" w:rsidP="0035510A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35510A" w:rsidRDefault="0035510A" w:rsidP="0035510A">
      <w:pPr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3. Цілі прийняття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акта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:</w:t>
      </w:r>
    </w:p>
    <w:p w:rsidR="0035510A" w:rsidRDefault="0035510A" w:rsidP="0035510A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35510A" w:rsidRDefault="0035510A" w:rsidP="0035510A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- встановлення правового регулювання господарських і адміністративних відносин між органами місцевого самоврядування та суб'єктами господарювання;</w:t>
      </w:r>
    </w:p>
    <w:p w:rsidR="0035510A" w:rsidRDefault="0035510A" w:rsidP="0035510A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- виконання вимог Податкового Кодексу України;</w:t>
      </w:r>
    </w:p>
    <w:p w:rsidR="0035510A" w:rsidRDefault="0035510A" w:rsidP="0035510A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- встановлення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обгрунтованих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ставок місцевих податків та зборів для суб'єктів господарювання з урахуванням рівня їх платоспроможності та відповідно до Податкового кодексу України;</w:t>
      </w:r>
    </w:p>
    <w:p w:rsidR="0035510A" w:rsidRDefault="0035510A" w:rsidP="0035510A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-зміцнення ресурсної бази місцевого бюджету громади для виконання місцевих програм та вирішення соціально-економічних завдань розвитку громади;</w:t>
      </w:r>
    </w:p>
    <w:p w:rsidR="0035510A" w:rsidRDefault="0035510A" w:rsidP="0035510A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-встановлення пільг для місцевих податків та зборів;</w:t>
      </w:r>
    </w:p>
    <w:p w:rsidR="0035510A" w:rsidRDefault="0035510A" w:rsidP="0035510A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-здійснення прогнозування та планування надходжень від місцевих податків та зборів при формуванні бюджету.</w:t>
      </w:r>
    </w:p>
    <w:p w:rsidR="0035510A" w:rsidRDefault="0035510A" w:rsidP="0035510A">
      <w:pPr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:rsidR="0035510A" w:rsidRDefault="0035510A" w:rsidP="0035510A">
      <w:pPr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4.Строк виконання заходів відстеження: </w:t>
      </w:r>
    </w:p>
    <w:p w:rsidR="0035510A" w:rsidRDefault="0035510A" w:rsidP="0035510A">
      <w:pPr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:rsidR="0035510A" w:rsidRDefault="0035510A" w:rsidP="0035510A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10.03.2026-30.04.2026</w:t>
      </w:r>
    </w:p>
    <w:p w:rsidR="0035510A" w:rsidRDefault="0035510A" w:rsidP="0035510A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35510A" w:rsidRDefault="0035510A" w:rsidP="0035510A">
      <w:pPr>
        <w:numPr>
          <w:ilvl w:val="0"/>
          <w:numId w:val="3"/>
        </w:numPr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Тип відстеження:</w:t>
      </w:r>
    </w:p>
    <w:p w:rsidR="0035510A" w:rsidRDefault="0035510A" w:rsidP="0035510A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35510A" w:rsidRDefault="0035510A" w:rsidP="0035510A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Повторне відстеження.</w:t>
      </w:r>
    </w:p>
    <w:p w:rsidR="0035510A" w:rsidRDefault="0035510A" w:rsidP="0035510A">
      <w:pPr>
        <w:numPr>
          <w:ilvl w:val="0"/>
          <w:numId w:val="3"/>
        </w:numPr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Метод одержання результатів відстеження:</w:t>
      </w:r>
    </w:p>
    <w:p w:rsidR="0035510A" w:rsidRDefault="0035510A" w:rsidP="0035510A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35510A" w:rsidRDefault="0035510A" w:rsidP="0035510A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Для проведення повторного відстеження використовується статистичний та аналітичний методи. Відстеження результативності регуляторного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акта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проведено відповідно фактичних надходжень до місцевого бюджету від суб'єктів господарювання, які сплачують місцеві податки та збори.</w:t>
      </w:r>
    </w:p>
    <w:p w:rsidR="0035510A" w:rsidRDefault="0035510A" w:rsidP="0035510A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35510A" w:rsidRDefault="0035510A" w:rsidP="0035510A">
      <w:pPr>
        <w:numPr>
          <w:ilvl w:val="0"/>
          <w:numId w:val="3"/>
        </w:numPr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Дані та припущення, на основі яких відстежувалась результативність, а також способи одержання даних:</w:t>
      </w:r>
    </w:p>
    <w:p w:rsidR="0035510A" w:rsidRDefault="0035510A" w:rsidP="0035510A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35510A" w:rsidRDefault="0035510A" w:rsidP="0035510A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Відстеження результативності регуляторного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акта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здійснювалося у відповідності до вимог Закону України від 11.09.2003 № 1160-</w:t>
      </w:r>
      <w:r>
        <w:rPr>
          <w:rFonts w:ascii="Times New Roman" w:hAnsi="Times New Roman" w:cs="Times New Roman"/>
          <w:sz w:val="28"/>
          <w:szCs w:val="28"/>
        </w:rPr>
        <w:t>IV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“Про засади державної регуляторної політики у сфері господарської діяльності”, постанови КМУ від 11.03.2004 № 308 “Про затвердження методики аналізу впливу та відстеження результативності регуляторного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акта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” (зі змінами) шляхом збирання аналізу таких статистичних показників:</w:t>
      </w:r>
    </w:p>
    <w:p w:rsidR="0035510A" w:rsidRDefault="0035510A" w:rsidP="0035510A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35510A" w:rsidRDefault="0035510A" w:rsidP="0035510A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-сума надходжень до бюджету громади від сплати місцевих податків та зборів;</w:t>
      </w:r>
    </w:p>
    <w:p w:rsidR="0035510A" w:rsidRDefault="0035510A" w:rsidP="0035510A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-кількість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субєктів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господарської діяльності- платників місцевих податків, осіб;</w:t>
      </w:r>
    </w:p>
    <w:p w:rsidR="0035510A" w:rsidRDefault="0035510A" w:rsidP="0035510A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-час, що витрачатиметься суб'єктами господарювання та/або фізичними особами, пов'язаними  з виконанням вимог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акта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, години на 1 суб'єкта; </w:t>
      </w:r>
    </w:p>
    <w:p w:rsidR="0035510A" w:rsidRDefault="0035510A" w:rsidP="0035510A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-розмір коштів, що витрачатимуться суб'єктами господарювання та/або фізичних осіб, пов'язаними з виконанням вимог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акта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:rsidR="0035510A" w:rsidRDefault="0035510A" w:rsidP="0035510A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-рівень поінформованості суб'єктів господарювання та/або фізичних осіб з основних положень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акта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35510A" w:rsidRDefault="0035510A" w:rsidP="0035510A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35510A" w:rsidRDefault="0035510A" w:rsidP="0035510A">
      <w:pPr>
        <w:numPr>
          <w:ilvl w:val="0"/>
          <w:numId w:val="3"/>
        </w:numPr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Кількісні та якісні значення показників результативності:</w:t>
      </w:r>
    </w:p>
    <w:p w:rsidR="0035510A" w:rsidRDefault="0035510A" w:rsidP="0035510A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35510A" w:rsidRDefault="0035510A" w:rsidP="0035510A">
      <w:pPr>
        <w:ind w:firstLineChars="200" w:firstLine="56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За 2025 рік до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Широківськоїою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сільської ради Запорізького району Запорізької області не надходило звернень щодо розміщення та демонтажу об'єктів зовнішньої реклами на території ради, що зумовлено загальною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безпековою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ситуацією, яка склалася в цілому в державі в умовах воєнного стану. </w:t>
      </w:r>
    </w:p>
    <w:p w:rsidR="0035510A" w:rsidRDefault="0035510A" w:rsidP="0035510A">
      <w:pPr>
        <w:ind w:firstLineChars="200" w:firstLine="56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35510A" w:rsidRDefault="0035510A" w:rsidP="0035510A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Сільський голова                                                                      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  <w:lang w:val="uk-UA"/>
        </w:rPr>
        <w:t>Денис КОРОТЕНКО</w:t>
      </w:r>
    </w:p>
    <w:p w:rsidR="0035510A" w:rsidRDefault="0035510A" w:rsidP="0035510A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35510A" w:rsidRDefault="0035510A" w:rsidP="0035510A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35510A" w:rsidRPr="0035510A" w:rsidRDefault="0035510A">
      <w:pPr>
        <w:rPr>
          <w:lang w:val="uk-UA"/>
        </w:rPr>
      </w:pPr>
    </w:p>
    <w:p w:rsidR="0035510A" w:rsidRPr="0035510A" w:rsidRDefault="0035510A">
      <w:pPr>
        <w:rPr>
          <w:lang w:val="uk-UA"/>
        </w:rPr>
      </w:pPr>
    </w:p>
    <w:p w:rsidR="0035510A" w:rsidRPr="0035510A" w:rsidRDefault="0035510A">
      <w:pPr>
        <w:rPr>
          <w:lang w:val="uk-UA"/>
        </w:rPr>
      </w:pPr>
    </w:p>
    <w:p w:rsidR="0035510A" w:rsidRPr="0035510A" w:rsidRDefault="0035510A">
      <w:pPr>
        <w:rPr>
          <w:lang w:val="uk-UA"/>
        </w:rPr>
      </w:pPr>
    </w:p>
    <w:p w:rsidR="0035510A" w:rsidRPr="0035510A" w:rsidRDefault="0035510A">
      <w:pPr>
        <w:rPr>
          <w:lang w:val="uk-UA"/>
        </w:rPr>
      </w:pPr>
    </w:p>
    <w:p w:rsidR="0035510A" w:rsidRPr="0035510A" w:rsidRDefault="0035510A">
      <w:pPr>
        <w:rPr>
          <w:lang w:val="uk-UA"/>
        </w:rPr>
      </w:pPr>
    </w:p>
    <w:p w:rsidR="0035510A" w:rsidRPr="0035510A" w:rsidRDefault="0035510A">
      <w:pPr>
        <w:rPr>
          <w:lang w:val="uk-UA"/>
        </w:rPr>
      </w:pPr>
    </w:p>
    <w:sectPr w:rsidR="0035510A" w:rsidRPr="003551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AA95FEF9"/>
    <w:multiLevelType w:val="singleLevel"/>
    <w:tmpl w:val="AA95FEF9"/>
    <w:lvl w:ilvl="0">
      <w:start w:val="5"/>
      <w:numFmt w:val="decimal"/>
      <w:suff w:val="space"/>
      <w:lvlText w:val="%1."/>
      <w:lvlJc w:val="left"/>
      <w:pPr>
        <w:ind w:left="0" w:firstLine="0"/>
      </w:pPr>
    </w:lvl>
  </w:abstractNum>
  <w:abstractNum w:abstractNumId="1" w15:restartNumberingAfterBreak="0">
    <w:nsid w:val="F2CA073E"/>
    <w:multiLevelType w:val="singleLevel"/>
    <w:tmpl w:val="F2CA073E"/>
    <w:lvl w:ilvl="0">
      <w:start w:val="1"/>
      <w:numFmt w:val="decimal"/>
      <w:suff w:val="space"/>
      <w:lvlText w:val="%1."/>
      <w:lvlJc w:val="left"/>
      <w:pPr>
        <w:ind w:left="0" w:firstLine="0"/>
      </w:pPr>
    </w:lvl>
  </w:abstractNum>
  <w:abstractNum w:abstractNumId="2" w15:restartNumberingAfterBreak="0">
    <w:nsid w:val="3C83BAD9"/>
    <w:multiLevelType w:val="singleLevel"/>
    <w:tmpl w:val="3C83BAD9"/>
    <w:lvl w:ilvl="0">
      <w:start w:val="1"/>
      <w:numFmt w:val="decimal"/>
      <w:suff w:val="space"/>
      <w:lvlText w:val="%1."/>
      <w:lvlJc w:val="left"/>
      <w:pPr>
        <w:ind w:left="0" w:firstLine="0"/>
      </w:pPr>
    </w:lvl>
  </w:abstractNum>
  <w:num w:numId="1">
    <w:abstractNumId w:val="2"/>
    <w:lvlOverride w:ilvl="0">
      <w:startOverride w:val="1"/>
    </w:lvlOverride>
  </w:num>
  <w:num w:numId="2">
    <w:abstractNumId w:val="1"/>
    <w:lvlOverride w:ilvl="0">
      <w:startOverride w:val="1"/>
    </w:lvlOverride>
  </w:num>
  <w:num w:numId="3">
    <w:abstractNumId w:val="0"/>
    <w:lvlOverride w:ilvl="0">
      <w:startOverride w:val="5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5E84"/>
    <w:rsid w:val="00285E84"/>
    <w:rsid w:val="0035510A"/>
    <w:rsid w:val="008F1EB9"/>
    <w:rsid w:val="00F015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2F631A0-F7EC-4142-9D26-B318BDE7DF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F1EB9"/>
    <w:pPr>
      <w:spacing w:after="0" w:line="240" w:lineRule="auto"/>
    </w:pPr>
    <w:rPr>
      <w:rFonts w:eastAsiaTheme="minorEastAsia"/>
      <w:sz w:val="20"/>
      <w:szCs w:val="20"/>
      <w:lang w:val="en-US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8F1EB9"/>
    <w:pPr>
      <w:widowControl w:val="0"/>
      <w:spacing w:after="0" w:line="240" w:lineRule="auto"/>
      <w:jc w:val="both"/>
    </w:pPr>
    <w:rPr>
      <w:rFonts w:ascii="Times New Roman" w:eastAsia="SimSun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35510A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35510A"/>
    <w:rPr>
      <w:rFonts w:ascii="Segoe UI" w:eastAsiaTheme="minorEastAsia" w:hAnsi="Segoe UI" w:cs="Segoe UI"/>
      <w:sz w:val="18"/>
      <w:szCs w:val="18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670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03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1218</Words>
  <Characters>6944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8146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5</cp:revision>
  <cp:lastPrinted>2026-04-06T05:37:00Z</cp:lastPrinted>
  <dcterms:created xsi:type="dcterms:W3CDTF">2026-04-06T05:36:00Z</dcterms:created>
  <dcterms:modified xsi:type="dcterms:W3CDTF">2026-04-06T05:38:00Z</dcterms:modified>
</cp:coreProperties>
</file>